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3E7C" w:rsidRDefault="00A907B0" w:rsidP="003D00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7647D">
        <w:rPr>
          <w:rFonts w:ascii="Times New Roman" w:hAnsi="Times New Roman" w:cs="Times New Roman"/>
          <w:b/>
          <w:sz w:val="24"/>
          <w:szCs w:val="24"/>
        </w:rPr>
        <w:t xml:space="preserve">Предложение </w:t>
      </w:r>
      <w:r w:rsidR="008A3DF4" w:rsidRPr="00F7647D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BB10AE" w:rsidRPr="00F7647D">
        <w:rPr>
          <w:rFonts w:ascii="Times New Roman" w:hAnsi="Times New Roman" w:cs="Times New Roman"/>
          <w:b/>
          <w:sz w:val="24"/>
          <w:szCs w:val="24"/>
        </w:rPr>
        <w:t>промяна</w:t>
      </w:r>
      <w:r w:rsidR="008A3DF4" w:rsidRPr="00F7647D">
        <w:rPr>
          <w:rFonts w:ascii="Times New Roman" w:hAnsi="Times New Roman" w:cs="Times New Roman"/>
          <w:b/>
          <w:sz w:val="24"/>
          <w:szCs w:val="24"/>
        </w:rPr>
        <w:t xml:space="preserve"> на текста на</w:t>
      </w:r>
      <w:r w:rsidR="004352A2" w:rsidRPr="00F764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3E7C">
        <w:rPr>
          <w:rFonts w:ascii="Times New Roman" w:hAnsi="Times New Roman" w:cs="Times New Roman"/>
          <w:b/>
          <w:sz w:val="24"/>
          <w:szCs w:val="24"/>
        </w:rPr>
        <w:t xml:space="preserve">Раздел 8.1, </w:t>
      </w:r>
    </w:p>
    <w:p w:rsidR="00BB10AE" w:rsidRPr="00F7647D" w:rsidRDefault="00413E7C" w:rsidP="003D005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текста на точка </w:t>
      </w:r>
      <w:r w:rsidRPr="00413E7C">
        <w:rPr>
          <w:rFonts w:ascii="Times New Roman" w:hAnsi="Times New Roman" w:cs="Times New Roman"/>
          <w:b/>
          <w:sz w:val="24"/>
          <w:szCs w:val="24"/>
        </w:rPr>
        <w:t xml:space="preserve">8.2.3.3.5.5.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413E7C">
        <w:rPr>
          <w:rFonts w:ascii="Times New Roman" w:hAnsi="Times New Roman" w:cs="Times New Roman"/>
          <w:b/>
          <w:sz w:val="24"/>
          <w:szCs w:val="24"/>
        </w:rPr>
        <w:t>Допустими разходи</w:t>
      </w:r>
      <w:r>
        <w:rPr>
          <w:rFonts w:ascii="Times New Roman" w:hAnsi="Times New Roman" w:cs="Times New Roman"/>
          <w:b/>
          <w:sz w:val="24"/>
          <w:szCs w:val="24"/>
        </w:rPr>
        <w:t xml:space="preserve">“ от </w:t>
      </w:r>
      <w:r w:rsidRPr="00413E7C">
        <w:rPr>
          <w:rFonts w:ascii="Times New Roman" w:hAnsi="Times New Roman" w:cs="Times New Roman"/>
          <w:b/>
          <w:sz w:val="24"/>
          <w:szCs w:val="24"/>
        </w:rPr>
        <w:t>Подмярка 4.3 "Подкрепа за инвестиции в инфраструктура - развитие, модернизация или адаптиране на земеделската и горска инфраструктура"</w:t>
      </w:r>
      <w:r>
        <w:rPr>
          <w:rFonts w:ascii="Times New Roman" w:hAnsi="Times New Roman" w:cs="Times New Roman"/>
          <w:b/>
          <w:sz w:val="24"/>
          <w:szCs w:val="24"/>
        </w:rPr>
        <w:t xml:space="preserve"> и текста на точка </w:t>
      </w:r>
      <w:r w:rsidRPr="00413E7C">
        <w:rPr>
          <w:rFonts w:ascii="Times New Roman" w:hAnsi="Times New Roman" w:cs="Times New Roman"/>
          <w:b/>
          <w:sz w:val="24"/>
          <w:szCs w:val="24"/>
        </w:rPr>
        <w:t xml:space="preserve">8.2.5.3.2.5.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413E7C">
        <w:rPr>
          <w:rFonts w:ascii="Times New Roman" w:hAnsi="Times New Roman" w:cs="Times New Roman"/>
          <w:b/>
          <w:sz w:val="24"/>
          <w:szCs w:val="24"/>
        </w:rPr>
        <w:t>Допустими разходи</w:t>
      </w:r>
      <w:r>
        <w:rPr>
          <w:rFonts w:ascii="Times New Roman" w:hAnsi="Times New Roman" w:cs="Times New Roman"/>
          <w:b/>
          <w:sz w:val="24"/>
          <w:szCs w:val="24"/>
        </w:rPr>
        <w:t xml:space="preserve">“ от </w:t>
      </w:r>
      <w:r w:rsidRPr="00413E7C">
        <w:rPr>
          <w:rFonts w:ascii="Times New Roman" w:hAnsi="Times New Roman" w:cs="Times New Roman"/>
          <w:b/>
          <w:sz w:val="24"/>
          <w:szCs w:val="24"/>
        </w:rPr>
        <w:t xml:space="preserve">Подмярка 7.3. </w:t>
      </w:r>
      <w:r>
        <w:rPr>
          <w:rFonts w:ascii="Times New Roman" w:hAnsi="Times New Roman" w:cs="Times New Roman"/>
          <w:b/>
          <w:sz w:val="24"/>
          <w:szCs w:val="24"/>
        </w:rPr>
        <w:t>„</w:t>
      </w:r>
      <w:r w:rsidRPr="00413E7C">
        <w:rPr>
          <w:rFonts w:ascii="Times New Roman" w:hAnsi="Times New Roman" w:cs="Times New Roman"/>
          <w:b/>
          <w:sz w:val="24"/>
          <w:szCs w:val="24"/>
        </w:rPr>
        <w:t>Широколентова инфраструктура, включително нейното създаване, подобрение и разширяване</w:t>
      </w:r>
      <w:r>
        <w:rPr>
          <w:rFonts w:ascii="Times New Roman" w:hAnsi="Times New Roman" w:cs="Times New Roman"/>
          <w:b/>
          <w:sz w:val="24"/>
          <w:szCs w:val="24"/>
        </w:rPr>
        <w:t>“</w:t>
      </w:r>
    </w:p>
    <w:p w:rsidR="00F7647D" w:rsidRDefault="00F7647D" w:rsidP="00884781">
      <w:pPr>
        <w:pStyle w:val="ListParagraph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3336D4" w:rsidRDefault="008A3DF4" w:rsidP="00884781">
      <w:pPr>
        <w:pStyle w:val="ListParagraph"/>
        <w:spacing w:after="0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7647D">
        <w:rPr>
          <w:rFonts w:ascii="Times New Roman" w:hAnsi="Times New Roman" w:cs="Times New Roman"/>
          <w:sz w:val="24"/>
          <w:szCs w:val="24"/>
        </w:rPr>
        <w:t xml:space="preserve">Управляващият орган </w:t>
      </w:r>
      <w:r w:rsidR="003336D4" w:rsidRPr="00F7647D">
        <w:rPr>
          <w:rFonts w:ascii="Times New Roman" w:hAnsi="Times New Roman" w:cs="Times New Roman"/>
          <w:sz w:val="24"/>
          <w:szCs w:val="24"/>
        </w:rPr>
        <w:t xml:space="preserve">предлага </w:t>
      </w:r>
      <w:r w:rsidR="00AF50B3" w:rsidRPr="00F7647D">
        <w:rPr>
          <w:rFonts w:ascii="Times New Roman" w:hAnsi="Times New Roman" w:cs="Times New Roman"/>
          <w:sz w:val="24"/>
          <w:szCs w:val="24"/>
        </w:rPr>
        <w:t xml:space="preserve">да </w:t>
      </w:r>
      <w:r w:rsidR="00DB6DC6" w:rsidRPr="00F7647D">
        <w:rPr>
          <w:rFonts w:ascii="Times New Roman" w:hAnsi="Times New Roman" w:cs="Times New Roman"/>
          <w:sz w:val="24"/>
          <w:szCs w:val="24"/>
        </w:rPr>
        <w:t xml:space="preserve">се </w:t>
      </w:r>
      <w:r w:rsidR="00E767FF">
        <w:rPr>
          <w:rFonts w:ascii="Times New Roman" w:hAnsi="Times New Roman" w:cs="Times New Roman"/>
          <w:sz w:val="24"/>
          <w:szCs w:val="24"/>
        </w:rPr>
        <w:t>допълни</w:t>
      </w:r>
      <w:r w:rsidR="00E767FF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DB6DC6" w:rsidRPr="00F7647D">
        <w:rPr>
          <w:rFonts w:ascii="Times New Roman" w:hAnsi="Times New Roman" w:cs="Times New Roman"/>
          <w:sz w:val="24"/>
          <w:szCs w:val="24"/>
        </w:rPr>
        <w:t>текст</w:t>
      </w:r>
      <w:r w:rsidR="00E767FF">
        <w:rPr>
          <w:rFonts w:ascii="Times New Roman" w:hAnsi="Times New Roman" w:cs="Times New Roman"/>
          <w:sz w:val="24"/>
          <w:szCs w:val="24"/>
        </w:rPr>
        <w:t>а в подмярка 4.3 и подмярка 7.3</w:t>
      </w:r>
      <w:r w:rsidR="0082480D">
        <w:rPr>
          <w:rFonts w:ascii="Times New Roman" w:hAnsi="Times New Roman" w:cs="Times New Roman"/>
          <w:sz w:val="24"/>
          <w:szCs w:val="24"/>
        </w:rPr>
        <w:t>,</w:t>
      </w:r>
      <w:r w:rsidR="005072C4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E767FF">
        <w:rPr>
          <w:rFonts w:ascii="Times New Roman" w:hAnsi="Times New Roman" w:cs="Times New Roman"/>
          <w:sz w:val="24"/>
          <w:szCs w:val="24"/>
        </w:rPr>
        <w:t>по отношение на</w:t>
      </w:r>
      <w:r w:rsidR="00E767FF" w:rsidRPr="00F7647D">
        <w:rPr>
          <w:rFonts w:ascii="Times New Roman" w:hAnsi="Times New Roman" w:cs="Times New Roman"/>
          <w:sz w:val="24"/>
          <w:szCs w:val="24"/>
        </w:rPr>
        <w:t xml:space="preserve"> </w:t>
      </w:r>
      <w:r w:rsidR="00413E7C">
        <w:rPr>
          <w:rFonts w:ascii="Times New Roman" w:hAnsi="Times New Roman" w:cs="Times New Roman"/>
          <w:sz w:val="24"/>
          <w:szCs w:val="24"/>
        </w:rPr>
        <w:t xml:space="preserve">видовете общи разходи, като се включат като допустими </w:t>
      </w:r>
      <w:r w:rsidR="00E767FF">
        <w:rPr>
          <w:rFonts w:ascii="Times New Roman" w:hAnsi="Times New Roman" w:cs="Times New Roman"/>
          <w:sz w:val="24"/>
          <w:szCs w:val="24"/>
        </w:rPr>
        <w:t xml:space="preserve">за подпомагане и </w:t>
      </w:r>
      <w:r w:rsidR="00413E7C">
        <w:rPr>
          <w:rFonts w:ascii="Times New Roman" w:hAnsi="Times New Roman" w:cs="Times New Roman"/>
          <w:sz w:val="24"/>
          <w:szCs w:val="24"/>
        </w:rPr>
        <w:t xml:space="preserve">разходите за организация и управление на проекти </w:t>
      </w:r>
      <w:r w:rsidR="00F7647D" w:rsidRPr="00F7647D">
        <w:rPr>
          <w:rFonts w:ascii="Times New Roman" w:hAnsi="Times New Roman" w:cs="Times New Roman"/>
          <w:sz w:val="24"/>
          <w:szCs w:val="24"/>
        </w:rPr>
        <w:t>поради следните причини:</w:t>
      </w:r>
    </w:p>
    <w:p w:rsidR="003C70BE" w:rsidRDefault="00413E7C" w:rsidP="008847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реализацията на големи и сложни инфраструктурни проекти, възниква сериозен проблем в процеса на проектното проучване, логистиката, организацията и управлението на проекта поради факта, че не всички дейности могат да бъдат възлагани на външни изпълнители заради спецификата на самия проект и съответния бенефициент. Когато бенефициент</w:t>
      </w:r>
      <w:r w:rsidR="003D0059">
        <w:rPr>
          <w:rFonts w:ascii="Times New Roman" w:hAnsi="Times New Roman" w:cs="Times New Roman"/>
          <w:sz w:val="24"/>
          <w:szCs w:val="24"/>
        </w:rPr>
        <w:t>ът</w:t>
      </w:r>
      <w:r>
        <w:rPr>
          <w:rFonts w:ascii="Times New Roman" w:hAnsi="Times New Roman" w:cs="Times New Roman"/>
          <w:sz w:val="24"/>
          <w:szCs w:val="24"/>
        </w:rPr>
        <w:t xml:space="preserve"> разполага с компетентен и квалифицира</w:t>
      </w:r>
      <w:r w:rsidR="003D0059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експертен състав, икономически и времево най-ефективно ще бъде  специфичните задачи по организация и управление на проекта да бъдат възложени на служителите на публичното дружество</w:t>
      </w:r>
      <w:r w:rsidR="003631C7">
        <w:rPr>
          <w:rFonts w:ascii="Times New Roman" w:hAnsi="Times New Roman" w:cs="Times New Roman"/>
          <w:sz w:val="24"/>
          <w:szCs w:val="24"/>
        </w:rPr>
        <w:t>, предприятие</w:t>
      </w:r>
      <w:r>
        <w:rPr>
          <w:rFonts w:ascii="Times New Roman" w:hAnsi="Times New Roman" w:cs="Times New Roman"/>
          <w:sz w:val="24"/>
          <w:szCs w:val="24"/>
        </w:rPr>
        <w:t xml:space="preserve"> или орган като допълнителна задача или дейност</w:t>
      </w:r>
      <w:r w:rsidR="00E767FF">
        <w:rPr>
          <w:rFonts w:ascii="Times New Roman" w:hAnsi="Times New Roman" w:cs="Times New Roman"/>
          <w:sz w:val="24"/>
          <w:szCs w:val="24"/>
        </w:rPr>
        <w:t xml:space="preserve"> в рамките на служебните му задължения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767FF">
        <w:rPr>
          <w:rFonts w:ascii="Times New Roman" w:hAnsi="Times New Roman" w:cs="Times New Roman"/>
          <w:sz w:val="24"/>
          <w:szCs w:val="24"/>
        </w:rPr>
        <w:t xml:space="preserve">Наличието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E767FF">
        <w:rPr>
          <w:rFonts w:ascii="Times New Roman" w:hAnsi="Times New Roman" w:cs="Times New Roman"/>
          <w:sz w:val="24"/>
          <w:szCs w:val="24"/>
        </w:rPr>
        <w:t xml:space="preserve">ангажиран </w:t>
      </w:r>
      <w:r>
        <w:rPr>
          <w:rFonts w:ascii="Times New Roman" w:hAnsi="Times New Roman" w:cs="Times New Roman"/>
          <w:sz w:val="24"/>
          <w:szCs w:val="24"/>
        </w:rPr>
        <w:t xml:space="preserve">експертен екип ще допринесе за по-добрата координация в различните етапи при изготвянето и реализацията на проекта.  </w:t>
      </w:r>
    </w:p>
    <w:p w:rsidR="00323326" w:rsidRPr="009355F0" w:rsidRDefault="00E767FF" w:rsidP="008847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Чрез</w:t>
      </w:r>
      <w:r w:rsidR="00413E7C">
        <w:rPr>
          <w:rFonts w:ascii="Times New Roman" w:hAnsi="Times New Roman" w:cs="Times New Roman"/>
          <w:sz w:val="24"/>
          <w:szCs w:val="24"/>
        </w:rPr>
        <w:t xml:space="preserve"> включването на  разходите за организация и управление на проекти</w:t>
      </w:r>
      <w:r>
        <w:rPr>
          <w:rFonts w:ascii="Times New Roman" w:hAnsi="Times New Roman" w:cs="Times New Roman"/>
          <w:sz w:val="24"/>
          <w:szCs w:val="24"/>
        </w:rPr>
        <w:t>те</w:t>
      </w:r>
      <w:r w:rsidR="00413E7C">
        <w:rPr>
          <w:rFonts w:ascii="Times New Roman" w:hAnsi="Times New Roman" w:cs="Times New Roman"/>
          <w:sz w:val="24"/>
          <w:szCs w:val="24"/>
        </w:rPr>
        <w:t xml:space="preserve"> като допустим</w:t>
      </w:r>
      <w:r>
        <w:rPr>
          <w:rFonts w:ascii="Times New Roman" w:hAnsi="Times New Roman" w:cs="Times New Roman"/>
          <w:sz w:val="24"/>
          <w:szCs w:val="24"/>
        </w:rPr>
        <w:t xml:space="preserve"> разход</w:t>
      </w:r>
      <w:r w:rsidR="00413E7C">
        <w:rPr>
          <w:rFonts w:ascii="Times New Roman" w:hAnsi="Times New Roman" w:cs="Times New Roman"/>
          <w:sz w:val="24"/>
          <w:szCs w:val="24"/>
        </w:rPr>
        <w:t xml:space="preserve"> ще се намалят</w:t>
      </w:r>
      <w:r>
        <w:rPr>
          <w:rFonts w:ascii="Times New Roman" w:hAnsi="Times New Roman" w:cs="Times New Roman"/>
          <w:sz w:val="24"/>
          <w:szCs w:val="24"/>
        </w:rPr>
        <w:t xml:space="preserve"> някои от</w:t>
      </w:r>
      <w:r w:rsidR="00413E7C">
        <w:rPr>
          <w:rFonts w:ascii="Times New Roman" w:hAnsi="Times New Roman" w:cs="Times New Roman"/>
          <w:sz w:val="24"/>
          <w:szCs w:val="24"/>
        </w:rPr>
        <w:t xml:space="preserve"> разходи</w:t>
      </w:r>
      <w:r>
        <w:rPr>
          <w:rFonts w:ascii="Times New Roman" w:hAnsi="Times New Roman" w:cs="Times New Roman"/>
          <w:sz w:val="24"/>
          <w:szCs w:val="24"/>
        </w:rPr>
        <w:t>те на организациите</w:t>
      </w:r>
      <w:r w:rsidR="003D0059">
        <w:rPr>
          <w:rFonts w:ascii="Times New Roman" w:hAnsi="Times New Roman" w:cs="Times New Roman"/>
          <w:sz w:val="24"/>
          <w:szCs w:val="24"/>
        </w:rPr>
        <w:t>,</w:t>
      </w:r>
      <w:r w:rsidR="00413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свързани с</w:t>
      </w:r>
      <w:r w:rsidR="00413E7C">
        <w:rPr>
          <w:rFonts w:ascii="Times New Roman" w:hAnsi="Times New Roman" w:cs="Times New Roman"/>
          <w:sz w:val="24"/>
          <w:szCs w:val="24"/>
        </w:rPr>
        <w:t xml:space="preserve"> проектни проучвания, консултантски услуги, инвеститорски или авторски надзор и др. От друга страна положител</w:t>
      </w:r>
      <w:r w:rsidR="003C70BE">
        <w:rPr>
          <w:rFonts w:ascii="Times New Roman" w:hAnsi="Times New Roman" w:cs="Times New Roman"/>
          <w:sz w:val="24"/>
          <w:szCs w:val="24"/>
        </w:rPr>
        <w:t>ен</w:t>
      </w:r>
      <w:r w:rsidR="00413E7C">
        <w:rPr>
          <w:rFonts w:ascii="Times New Roman" w:hAnsi="Times New Roman" w:cs="Times New Roman"/>
          <w:sz w:val="24"/>
          <w:szCs w:val="24"/>
        </w:rPr>
        <w:t xml:space="preserve"> ефект </w:t>
      </w:r>
      <w:r>
        <w:rPr>
          <w:rFonts w:ascii="Times New Roman" w:hAnsi="Times New Roman" w:cs="Times New Roman"/>
          <w:sz w:val="24"/>
          <w:szCs w:val="24"/>
        </w:rPr>
        <w:t xml:space="preserve">за изпълнението на самите проекти </w:t>
      </w:r>
      <w:r w:rsidR="00413E7C">
        <w:rPr>
          <w:rFonts w:ascii="Times New Roman" w:hAnsi="Times New Roman" w:cs="Times New Roman"/>
          <w:sz w:val="24"/>
          <w:szCs w:val="24"/>
        </w:rPr>
        <w:t xml:space="preserve">ще </w:t>
      </w:r>
      <w:r w:rsidR="003C70BE">
        <w:rPr>
          <w:rFonts w:ascii="Times New Roman" w:hAnsi="Times New Roman" w:cs="Times New Roman"/>
          <w:sz w:val="24"/>
          <w:szCs w:val="24"/>
        </w:rPr>
        <w:t>има</w:t>
      </w:r>
      <w:r w:rsidR="00413E7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по отношение на периода за тяхното изпълнение </w:t>
      </w:r>
      <w:r w:rsidR="00413E7C">
        <w:rPr>
          <w:rFonts w:ascii="Times New Roman" w:hAnsi="Times New Roman" w:cs="Times New Roman"/>
          <w:sz w:val="24"/>
          <w:szCs w:val="24"/>
        </w:rPr>
        <w:t>и допълнителн</w:t>
      </w:r>
      <w:r>
        <w:rPr>
          <w:rFonts w:ascii="Times New Roman" w:hAnsi="Times New Roman" w:cs="Times New Roman"/>
          <w:sz w:val="24"/>
          <w:szCs w:val="24"/>
        </w:rPr>
        <w:t>и</w:t>
      </w:r>
      <w:r w:rsidR="00413E7C">
        <w:rPr>
          <w:rFonts w:ascii="Times New Roman" w:hAnsi="Times New Roman" w:cs="Times New Roman"/>
          <w:sz w:val="24"/>
          <w:szCs w:val="24"/>
        </w:rPr>
        <w:t xml:space="preserve"> ресурси</w:t>
      </w:r>
      <w:r>
        <w:rPr>
          <w:rFonts w:ascii="Times New Roman" w:hAnsi="Times New Roman" w:cs="Times New Roman"/>
          <w:sz w:val="24"/>
          <w:szCs w:val="24"/>
        </w:rPr>
        <w:t xml:space="preserve"> особено в случаите, в които е необходимо наемането на </w:t>
      </w:r>
      <w:r w:rsidR="00413E7C">
        <w:rPr>
          <w:rFonts w:ascii="Times New Roman" w:hAnsi="Times New Roman" w:cs="Times New Roman"/>
          <w:sz w:val="24"/>
          <w:szCs w:val="24"/>
        </w:rPr>
        <w:t xml:space="preserve">външни контрагенти чрез </w:t>
      </w:r>
      <w:r w:rsidR="003C70BE">
        <w:rPr>
          <w:rFonts w:ascii="Times New Roman" w:hAnsi="Times New Roman" w:cs="Times New Roman"/>
          <w:sz w:val="24"/>
          <w:szCs w:val="24"/>
        </w:rPr>
        <w:t xml:space="preserve">механизма на </w:t>
      </w:r>
      <w:r w:rsidR="00413E7C">
        <w:rPr>
          <w:rFonts w:ascii="Times New Roman" w:hAnsi="Times New Roman" w:cs="Times New Roman"/>
          <w:sz w:val="24"/>
          <w:szCs w:val="24"/>
        </w:rPr>
        <w:t>обществени</w:t>
      </w:r>
      <w:r w:rsidR="003C70BE">
        <w:rPr>
          <w:rFonts w:ascii="Times New Roman" w:hAnsi="Times New Roman" w:cs="Times New Roman"/>
          <w:sz w:val="24"/>
          <w:szCs w:val="24"/>
        </w:rPr>
        <w:t>те</w:t>
      </w:r>
      <w:r w:rsidR="00413E7C">
        <w:rPr>
          <w:rFonts w:ascii="Times New Roman" w:hAnsi="Times New Roman" w:cs="Times New Roman"/>
          <w:sz w:val="24"/>
          <w:szCs w:val="24"/>
        </w:rPr>
        <w:t xml:space="preserve"> поръчки</w:t>
      </w:r>
      <w:r>
        <w:rPr>
          <w:rFonts w:ascii="Times New Roman" w:hAnsi="Times New Roman" w:cs="Times New Roman"/>
          <w:sz w:val="24"/>
          <w:szCs w:val="24"/>
        </w:rPr>
        <w:t xml:space="preserve"> за дейности</w:t>
      </w:r>
      <w:r w:rsidR="003D005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свързани с организацията и управлението на проектите</w:t>
      </w:r>
      <w:r w:rsidR="00413E7C">
        <w:rPr>
          <w:rFonts w:ascii="Times New Roman" w:hAnsi="Times New Roman" w:cs="Times New Roman"/>
          <w:sz w:val="24"/>
          <w:szCs w:val="24"/>
        </w:rPr>
        <w:t xml:space="preserve">.       </w:t>
      </w:r>
    </w:p>
    <w:p w:rsidR="00323326" w:rsidRPr="00323326" w:rsidRDefault="00323326" w:rsidP="00323326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323326" w:rsidRPr="00323326" w:rsidRDefault="00323326" w:rsidP="004B5CC2">
      <w:pPr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9F1F50" w:rsidRPr="00F7647D" w:rsidRDefault="009F1F50" w:rsidP="00FB59BA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475F00" w:rsidRPr="00FB59BA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</w:pPr>
    </w:p>
    <w:p w:rsidR="00475F00" w:rsidRPr="00752182" w:rsidRDefault="00475F00" w:rsidP="00475F00">
      <w:pPr>
        <w:spacing w:after="0" w:line="360" w:lineRule="auto"/>
        <w:ind w:firstLine="708"/>
        <w:jc w:val="both"/>
        <w:rPr>
          <w:rFonts w:ascii="Verdana" w:hAnsi="Verdana" w:cs="Times New Roman"/>
          <w:sz w:val="20"/>
          <w:szCs w:val="20"/>
        </w:rPr>
        <w:sectPr w:rsidR="00475F00" w:rsidRPr="00752182" w:rsidSect="00DA5B13">
          <w:footerReference w:type="default" r:id="rId9"/>
          <w:pgSz w:w="11906" w:h="16838"/>
          <w:pgMar w:top="851" w:right="1417" w:bottom="284" w:left="1417" w:header="142" w:footer="143" w:gutter="0"/>
          <w:cols w:space="708"/>
          <w:docGrid w:linePitch="360"/>
        </w:sectPr>
      </w:pPr>
    </w:p>
    <w:tbl>
      <w:tblPr>
        <w:tblW w:w="538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"/>
        <w:gridCol w:w="2985"/>
        <w:gridCol w:w="5802"/>
        <w:gridCol w:w="6093"/>
      </w:tblGrid>
      <w:tr w:rsidR="001464C8" w:rsidRPr="00EA398A" w:rsidTr="0029245A">
        <w:tc>
          <w:tcPr>
            <w:tcW w:w="140" w:type="pct"/>
            <w:shd w:val="clear" w:color="auto" w:fill="D9D9D9"/>
          </w:tcPr>
          <w:p w:rsidR="001464C8" w:rsidRPr="00993553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93553">
              <w:rPr>
                <w:rFonts w:ascii="Times New Roman" w:hAnsi="Times New Roman" w:cs="Times New Roman"/>
                <w:b/>
                <w:bCs/>
              </w:rPr>
              <w:lastRenderedPageBreak/>
              <w:t>№</w:t>
            </w:r>
          </w:p>
        </w:tc>
        <w:tc>
          <w:tcPr>
            <w:tcW w:w="975" w:type="pct"/>
            <w:shd w:val="clear" w:color="auto" w:fill="D9D9D9"/>
            <w:vAlign w:val="center"/>
          </w:tcPr>
          <w:p w:rsidR="001464C8" w:rsidRPr="00F7647D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Част от ПРСР</w:t>
            </w:r>
            <w:r w:rsidR="00677CDC" w:rsidRPr="00F7647D">
              <w:rPr>
                <w:rFonts w:ascii="Times New Roman" w:hAnsi="Times New Roman" w:cs="Times New Roman"/>
                <w:b/>
                <w:bCs/>
              </w:rPr>
              <w:t>,</w:t>
            </w:r>
            <w:r w:rsidRPr="00F7647D">
              <w:rPr>
                <w:rFonts w:ascii="Times New Roman" w:hAnsi="Times New Roman" w:cs="Times New Roman"/>
                <w:b/>
                <w:bCs/>
              </w:rPr>
              <w:t xml:space="preserve"> в която се прави предложение за промяна</w:t>
            </w:r>
          </w:p>
        </w:tc>
        <w:tc>
          <w:tcPr>
            <w:tcW w:w="1895" w:type="pct"/>
            <w:shd w:val="clear" w:color="auto" w:fill="D9D9D9"/>
            <w:vAlign w:val="center"/>
          </w:tcPr>
          <w:p w:rsidR="001464C8" w:rsidRPr="00F7647D" w:rsidRDefault="001464C8" w:rsidP="002924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Настоящ текст</w:t>
            </w:r>
            <w:r w:rsidR="008210F0" w:rsidRPr="00F7647D">
              <w:rPr>
                <w:rFonts w:ascii="Times New Roman" w:hAnsi="Times New Roman" w:cs="Times New Roman"/>
                <w:b/>
                <w:bCs/>
              </w:rPr>
              <w:t xml:space="preserve"> на </w:t>
            </w:r>
            <w:r w:rsidR="0029245A">
              <w:rPr>
                <w:rFonts w:ascii="Times New Roman" w:hAnsi="Times New Roman" w:cs="Times New Roman"/>
                <w:b/>
                <w:bCs/>
              </w:rPr>
              <w:t>Раздел 8.1</w:t>
            </w:r>
            <w:r w:rsidRPr="00F7647D">
              <w:rPr>
                <w:rFonts w:ascii="Times New Roman" w:hAnsi="Times New Roman" w:cs="Times New Roman"/>
                <w:b/>
                <w:bCs/>
              </w:rPr>
              <w:t xml:space="preserve"> в ПРСР</w:t>
            </w:r>
          </w:p>
        </w:tc>
        <w:tc>
          <w:tcPr>
            <w:tcW w:w="1990" w:type="pct"/>
            <w:shd w:val="clear" w:color="auto" w:fill="D9D9D9"/>
            <w:vAlign w:val="center"/>
          </w:tcPr>
          <w:p w:rsidR="001464C8" w:rsidRPr="00F7647D" w:rsidRDefault="001464C8" w:rsidP="008210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Предложение за нов текст</w:t>
            </w:r>
            <w:r w:rsidR="008210F0" w:rsidRPr="00F7647D">
              <w:rPr>
                <w:rFonts w:ascii="Times New Roman" w:hAnsi="Times New Roman" w:cs="Times New Roman"/>
                <w:b/>
                <w:bCs/>
              </w:rPr>
              <w:t xml:space="preserve"> в </w:t>
            </w:r>
            <w:r w:rsidR="0029245A">
              <w:rPr>
                <w:rFonts w:ascii="Times New Roman" w:hAnsi="Times New Roman" w:cs="Times New Roman"/>
                <w:b/>
                <w:bCs/>
              </w:rPr>
              <w:t>Раздел 8.1</w:t>
            </w:r>
            <w:r w:rsidR="0029245A" w:rsidRPr="00F7647D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8210F0" w:rsidRPr="00F7647D">
              <w:rPr>
                <w:rFonts w:ascii="Times New Roman" w:hAnsi="Times New Roman" w:cs="Times New Roman"/>
                <w:b/>
                <w:bCs/>
              </w:rPr>
              <w:t>от</w:t>
            </w:r>
            <w:r w:rsidRPr="00F7647D">
              <w:rPr>
                <w:rFonts w:ascii="Times New Roman" w:hAnsi="Times New Roman" w:cs="Times New Roman"/>
                <w:b/>
                <w:bCs/>
              </w:rPr>
              <w:t xml:space="preserve"> ПРСР</w:t>
            </w:r>
          </w:p>
        </w:tc>
      </w:tr>
      <w:tr w:rsidR="001464C8" w:rsidRPr="00EA398A" w:rsidTr="0029245A">
        <w:trPr>
          <w:trHeight w:val="589"/>
        </w:trPr>
        <w:tc>
          <w:tcPr>
            <w:tcW w:w="14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993553" w:rsidRDefault="001464C8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464C8" w:rsidRPr="00F7647D" w:rsidRDefault="0029245A" w:rsidP="00FB59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29245A">
              <w:rPr>
                <w:rFonts w:ascii="Times New Roman" w:hAnsi="Times New Roman" w:cs="Times New Roman"/>
                <w:b/>
              </w:rPr>
              <w:t>8.1. Описание на общите условия, прилагани за повече от една мярка, включително и, когато е приложимо, определение на селски район, основни параметри, кръстосано съответствие, предназначение на финансовите инструменти, предназначение на авансите и общи разпоредби за инвестиции, включително разпоредбите на членове 45 и 46 от Регламент (ЕС) № 1305/2013</w:t>
            </w:r>
          </w:p>
        </w:tc>
        <w:tc>
          <w:tcPr>
            <w:tcW w:w="1895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F7647D" w:rsidRDefault="001464C8" w:rsidP="00EA39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990" w:type="pct"/>
            <w:tcBorders>
              <w:bottom w:val="single" w:sz="4" w:space="0" w:color="auto"/>
            </w:tcBorders>
            <w:shd w:val="clear" w:color="auto" w:fill="D9D9D9"/>
          </w:tcPr>
          <w:p w:rsidR="001464C8" w:rsidRPr="00595C9D" w:rsidRDefault="001464C8" w:rsidP="00EA398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5C9D" w:rsidRPr="00EA398A" w:rsidTr="0029245A">
        <w:trPr>
          <w:trHeight w:val="589"/>
        </w:trPr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C9D" w:rsidRPr="00993553" w:rsidRDefault="007378F9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1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95C9D" w:rsidRPr="007378F9" w:rsidRDefault="0029245A" w:rsidP="0029245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>Първи абзац от „</w:t>
            </w:r>
            <w:r w:rsidRPr="0029245A">
              <w:rPr>
                <w:rFonts w:ascii="Times New Roman" w:hAnsi="Times New Roman" w:cs="Times New Roman"/>
                <w:b/>
              </w:rPr>
              <w:t>Правила за допустимост на проекти за инвестиционна подкрепа</w:t>
            </w:r>
            <w:r>
              <w:rPr>
                <w:rFonts w:ascii="Times New Roman" w:hAnsi="Times New Roman" w:cs="Times New Roman"/>
                <w:b/>
              </w:rPr>
              <w:t>“</w:t>
            </w:r>
          </w:p>
        </w:tc>
        <w:tc>
          <w:tcPr>
            <w:tcW w:w="1895" w:type="pct"/>
            <w:tcBorders>
              <w:bottom w:val="single" w:sz="4" w:space="0" w:color="auto"/>
            </w:tcBorders>
            <w:shd w:val="clear" w:color="auto" w:fill="auto"/>
          </w:tcPr>
          <w:p w:rsidR="00595C9D" w:rsidRPr="0029245A" w:rsidRDefault="0029245A" w:rsidP="0029245A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447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  <w:r w:rsidRPr="0029245A">
              <w:rPr>
                <w:rFonts w:ascii="Times New Roman" w:hAnsi="Times New Roman" w:cs="Times New Roman"/>
              </w:rPr>
              <w:t>Допустимите инвестиционни разходи са насочени към изграждане, придобиване или подобрение на недвижима собственост, закупуване на нови машини и оборудване, включително компютърен софтуер, финансиране на лизинг за закупуване на нови машини и оборудване до пазарната стойност на актива, при условие, че ползвателят на финансова помощ е собственик на актива, към датата на подаване на финалното искане за плащане във връзка с актива. Допустими за подпомагане са и 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Общите разходи по проекта не могат да надхвърлят 12 % от общия размер на допустимите инвестиционни разходи по проекта. Общите разходи може да са възникнали не по – рано от 01.01.2014 г.</w:t>
            </w:r>
          </w:p>
          <w:p w:rsidR="0029245A" w:rsidRDefault="0029245A" w:rsidP="0029245A">
            <w:pPr>
              <w:pStyle w:val="ListParagraph"/>
              <w:spacing w:line="240" w:lineRule="auto"/>
              <w:jc w:val="both"/>
              <w:rPr>
                <w:rFonts w:ascii="Times New Roman" w:hAnsi="Times New Roman" w:cs="Times New Roman"/>
              </w:rPr>
            </w:pPr>
          </w:p>
          <w:p w:rsidR="0029245A" w:rsidRPr="0029245A" w:rsidRDefault="0029245A" w:rsidP="0029245A">
            <w:pPr>
              <w:pStyle w:val="ListParagraph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en-GB"/>
              </w:rPr>
            </w:pPr>
          </w:p>
        </w:tc>
        <w:tc>
          <w:tcPr>
            <w:tcW w:w="1990" w:type="pct"/>
            <w:tcBorders>
              <w:bottom w:val="single" w:sz="4" w:space="0" w:color="auto"/>
            </w:tcBorders>
            <w:shd w:val="clear" w:color="auto" w:fill="auto"/>
          </w:tcPr>
          <w:p w:rsidR="00595C9D" w:rsidRPr="0029245A" w:rsidRDefault="0029245A" w:rsidP="0029245A">
            <w:pPr>
              <w:pStyle w:val="ListParagraph"/>
              <w:numPr>
                <w:ilvl w:val="0"/>
                <w:numId w:val="17"/>
              </w:numPr>
              <w:spacing w:line="240" w:lineRule="auto"/>
              <w:ind w:left="457"/>
              <w:jc w:val="both"/>
              <w:rPr>
                <w:rFonts w:ascii="Times New Roman" w:hAnsi="Times New Roman" w:cs="Times New Roman"/>
              </w:rPr>
            </w:pPr>
            <w:r w:rsidRPr="0029245A">
              <w:rPr>
                <w:rFonts w:ascii="Times New Roman" w:hAnsi="Times New Roman" w:cs="Times New Roman"/>
              </w:rPr>
              <w:lastRenderedPageBreak/>
              <w:t>Допустимите инвестиционни разходи са насочени към изграждане, придобиване или подобрение на недвижима собственост, закупуване на нови машини и оборудване, включително компютърен софтуер, финансиране на лизинг за закупуване на нови машини и оборудване до пазарната стойност на актива, при условие, че ползвателят на финансова помощ е собственик на актива, към датата на подаване на финалното искане за плащане във връзка с актива. Допустими за подпомагане са и общи разходи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</w:t>
            </w:r>
            <w:r>
              <w:rPr>
                <w:rFonts w:ascii="Times New Roman" w:hAnsi="Times New Roman" w:cs="Times New Roman"/>
              </w:rPr>
              <w:t xml:space="preserve">, </w:t>
            </w:r>
            <w:r>
              <w:rPr>
                <w:rFonts w:ascii="Times New Roman" w:hAnsi="Times New Roman" w:cs="Times New Roman"/>
                <w:color w:val="FF0000"/>
              </w:rPr>
              <w:t>както и разходи за организация и управление на проекти</w:t>
            </w:r>
            <w:r w:rsidRPr="0029245A">
              <w:rPr>
                <w:rFonts w:ascii="Times New Roman" w:hAnsi="Times New Roman" w:cs="Times New Roman"/>
              </w:rPr>
              <w:t>. Общите разходи по проекта не могат да надхвърлят 12 % от общия размер на допустимите инвестиционни разходи по проекта. Общите разходи може да са възникнали не по – рано от 01.01.2014 г.</w:t>
            </w:r>
          </w:p>
        </w:tc>
      </w:tr>
      <w:tr w:rsidR="001D3E62" w:rsidRPr="00EA398A" w:rsidTr="003D0059">
        <w:trPr>
          <w:trHeight w:val="589"/>
        </w:trPr>
        <w:tc>
          <w:tcPr>
            <w:tcW w:w="14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E62" w:rsidRPr="001B703E" w:rsidRDefault="001D3E62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highlight w:val="lightGray"/>
              </w:rPr>
            </w:pP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E62" w:rsidRPr="001B703E" w:rsidRDefault="001D3E62" w:rsidP="00595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i/>
                <w:highlight w:val="lightGray"/>
              </w:rPr>
            </w:pPr>
            <w:r w:rsidRPr="001B703E">
              <w:rPr>
                <w:rFonts w:ascii="Times New Roman" w:hAnsi="Times New Roman" w:cs="Times New Roman"/>
                <w:b/>
              </w:rPr>
              <w:t>Подмярка 4.3 "Подкрепа за инвестиции в инфраструктура - развитие, модернизация или адаптиране на земеделската и горска инфраструктура"</w:t>
            </w:r>
          </w:p>
        </w:tc>
        <w:tc>
          <w:tcPr>
            <w:tcW w:w="1895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E62" w:rsidRPr="001B703E" w:rsidRDefault="001D3E62" w:rsidP="003D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Настоящ текст</w:t>
            </w:r>
          </w:p>
        </w:tc>
        <w:tc>
          <w:tcPr>
            <w:tcW w:w="1990" w:type="pct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1D3E62" w:rsidRPr="001B703E" w:rsidRDefault="001D3E62" w:rsidP="003D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Предложение за нов текст</w:t>
            </w:r>
          </w:p>
        </w:tc>
      </w:tr>
      <w:tr w:rsidR="001D3E62" w:rsidRPr="00EA398A" w:rsidTr="0029245A">
        <w:trPr>
          <w:trHeight w:val="589"/>
        </w:trPr>
        <w:tc>
          <w:tcPr>
            <w:tcW w:w="14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E62" w:rsidRPr="00993553" w:rsidRDefault="001D3E62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2</w:t>
            </w:r>
          </w:p>
        </w:tc>
        <w:tc>
          <w:tcPr>
            <w:tcW w:w="97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D3E62" w:rsidRPr="00F7647D" w:rsidRDefault="001D3E62" w:rsidP="00595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B703E">
              <w:rPr>
                <w:rFonts w:ascii="Times New Roman" w:hAnsi="Times New Roman" w:cs="Times New Roman"/>
                <w:b/>
              </w:rPr>
              <w:t xml:space="preserve">8.2.3.3.5.5. </w:t>
            </w:r>
            <w:r>
              <w:rPr>
                <w:rFonts w:ascii="Times New Roman" w:hAnsi="Times New Roman" w:cs="Times New Roman"/>
                <w:b/>
              </w:rPr>
              <w:t xml:space="preserve">от ПРСР </w:t>
            </w:r>
            <w:r w:rsidRPr="001B703E">
              <w:rPr>
                <w:rFonts w:ascii="Times New Roman" w:hAnsi="Times New Roman" w:cs="Times New Roman"/>
                <w:b/>
              </w:rPr>
              <w:t xml:space="preserve">„Допустими разходи“ </w:t>
            </w:r>
          </w:p>
        </w:tc>
        <w:tc>
          <w:tcPr>
            <w:tcW w:w="1895" w:type="pct"/>
            <w:tcBorders>
              <w:bottom w:val="single" w:sz="4" w:space="0" w:color="auto"/>
            </w:tcBorders>
            <w:shd w:val="clear" w:color="auto" w:fill="auto"/>
          </w:tcPr>
          <w:p w:rsidR="001D3E62" w:rsidRPr="001B703E" w:rsidRDefault="001D3E62" w:rsidP="001B703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114" w:firstLine="283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1B703E">
              <w:rPr>
                <w:rFonts w:ascii="Times New Roman" w:hAnsi="Times New Roman" w:cs="Times New Roman"/>
                <w:bCs/>
              </w:rPr>
              <w:t>1. Общи разходи[1],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проекта. Общите разходи по проекта не могат да надхвърлят 12 % от общия размер на допустимите инвестиции по проекта. /Съгласно Раздел 8.1/.</w:t>
            </w:r>
          </w:p>
        </w:tc>
        <w:tc>
          <w:tcPr>
            <w:tcW w:w="1990" w:type="pct"/>
            <w:tcBorders>
              <w:bottom w:val="single" w:sz="4" w:space="0" w:color="auto"/>
            </w:tcBorders>
            <w:shd w:val="clear" w:color="auto" w:fill="auto"/>
          </w:tcPr>
          <w:p w:rsidR="001D3E62" w:rsidRPr="00645B68" w:rsidRDefault="001D3E62" w:rsidP="001B703E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457"/>
              <w:jc w:val="both"/>
              <w:rPr>
                <w:rFonts w:ascii="Times New Roman" w:hAnsi="Times New Roman" w:cs="Times New Roman"/>
                <w:bCs/>
              </w:rPr>
            </w:pPr>
            <w:r w:rsidRPr="001B703E">
              <w:rPr>
                <w:rFonts w:ascii="Times New Roman" w:hAnsi="Times New Roman" w:cs="Times New Roman"/>
                <w:bCs/>
              </w:rPr>
              <w:t>1. Общи разходи[1], свързани със съответния проект за предпроектни проучвания, такси, хонорари за архитекти, инженери и консултантски услуги, консултации за екологична и икономическа устойчивост на проекти, проучвания за техническа осъществимост на проекта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3D0059">
              <w:rPr>
                <w:rFonts w:ascii="Times New Roman" w:hAnsi="Times New Roman" w:cs="Times New Roman"/>
                <w:color w:val="FF0000"/>
                <w:u w:val="single"/>
              </w:rPr>
              <w:t>както и разходи за организация и управление на проекта</w:t>
            </w:r>
            <w:r w:rsidRPr="001B703E">
              <w:rPr>
                <w:rFonts w:ascii="Times New Roman" w:hAnsi="Times New Roman" w:cs="Times New Roman"/>
                <w:bCs/>
              </w:rPr>
              <w:t>. Общите разходи по проекта не могат да надхвърлят 12 % от общия размер на допустимите инвестиции по проекта. /Съгласно Раздел 8.1/.</w:t>
            </w:r>
          </w:p>
        </w:tc>
      </w:tr>
      <w:tr w:rsidR="001D3E62" w:rsidRPr="00EA398A" w:rsidTr="003D0059">
        <w:trPr>
          <w:trHeight w:val="223"/>
        </w:trPr>
        <w:tc>
          <w:tcPr>
            <w:tcW w:w="140" w:type="pct"/>
            <w:shd w:val="clear" w:color="auto" w:fill="D9D9D9" w:themeFill="background1" w:themeFillShade="D9"/>
            <w:vAlign w:val="center"/>
          </w:tcPr>
          <w:p w:rsidR="001D3E62" w:rsidRPr="001B703E" w:rsidRDefault="001D3E62" w:rsidP="007378F9">
            <w:pPr>
              <w:spacing w:after="0" w:line="240" w:lineRule="auto"/>
              <w:rPr>
                <w:rFonts w:ascii="Times New Roman" w:hAnsi="Times New Roman" w:cs="Times New Roman"/>
                <w:bCs/>
                <w:highlight w:val="lightGray"/>
              </w:rPr>
            </w:pPr>
          </w:p>
        </w:tc>
        <w:tc>
          <w:tcPr>
            <w:tcW w:w="975" w:type="pct"/>
            <w:shd w:val="clear" w:color="auto" w:fill="D9D9D9" w:themeFill="background1" w:themeFillShade="D9"/>
            <w:vAlign w:val="center"/>
          </w:tcPr>
          <w:p w:rsidR="001D3E62" w:rsidRPr="001B703E" w:rsidRDefault="001D3E62" w:rsidP="00595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  <w:r w:rsidRPr="001B703E">
              <w:rPr>
                <w:rFonts w:ascii="Times New Roman" w:hAnsi="Times New Roman" w:cs="Times New Roman"/>
                <w:b/>
              </w:rPr>
              <w:t>Подмярка 7.3. „Широколентова инфраструктура, включително нейното създаване, подобрение и разширяване“</w:t>
            </w:r>
          </w:p>
        </w:tc>
        <w:tc>
          <w:tcPr>
            <w:tcW w:w="1895" w:type="pct"/>
            <w:shd w:val="clear" w:color="auto" w:fill="D9D9D9" w:themeFill="background1" w:themeFillShade="D9"/>
            <w:vAlign w:val="center"/>
          </w:tcPr>
          <w:p w:rsidR="001D3E62" w:rsidRPr="001B703E" w:rsidRDefault="001D3E62" w:rsidP="003D00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highlight w:val="lightGray"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Настоящ текст</w:t>
            </w:r>
          </w:p>
        </w:tc>
        <w:tc>
          <w:tcPr>
            <w:tcW w:w="1990" w:type="pct"/>
            <w:shd w:val="clear" w:color="auto" w:fill="D9D9D9" w:themeFill="background1" w:themeFillShade="D9"/>
            <w:vAlign w:val="center"/>
          </w:tcPr>
          <w:p w:rsidR="001D3E62" w:rsidRPr="001B703E" w:rsidRDefault="001D3E62" w:rsidP="003D0059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color w:val="FF0000"/>
                <w:highlight w:val="lightGray"/>
              </w:rPr>
            </w:pPr>
            <w:r w:rsidRPr="00F7647D">
              <w:rPr>
                <w:rFonts w:ascii="Times New Roman" w:hAnsi="Times New Roman" w:cs="Times New Roman"/>
                <w:b/>
                <w:bCs/>
              </w:rPr>
              <w:t>Предложение за нов текст</w:t>
            </w:r>
          </w:p>
        </w:tc>
      </w:tr>
      <w:tr w:rsidR="001D3E62" w:rsidRPr="007378F9" w:rsidTr="0029245A">
        <w:trPr>
          <w:trHeight w:val="223"/>
        </w:trPr>
        <w:tc>
          <w:tcPr>
            <w:tcW w:w="140" w:type="pct"/>
            <w:shd w:val="clear" w:color="auto" w:fill="auto"/>
            <w:vAlign w:val="center"/>
          </w:tcPr>
          <w:p w:rsidR="001D3E62" w:rsidRPr="00993553" w:rsidRDefault="001D3E62" w:rsidP="00EA398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3</w:t>
            </w:r>
          </w:p>
        </w:tc>
        <w:tc>
          <w:tcPr>
            <w:tcW w:w="975" w:type="pct"/>
            <w:shd w:val="clear" w:color="auto" w:fill="auto"/>
            <w:vAlign w:val="center"/>
          </w:tcPr>
          <w:p w:rsidR="001D3E62" w:rsidRPr="00F7647D" w:rsidRDefault="001D3E62" w:rsidP="00595C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1B703E">
              <w:rPr>
                <w:rFonts w:ascii="Times New Roman" w:hAnsi="Times New Roman" w:cs="Times New Roman"/>
                <w:b/>
                <w:bCs/>
              </w:rPr>
              <w:t xml:space="preserve">8.2.5.3.2.5.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от ПРСР </w:t>
            </w:r>
            <w:r w:rsidRPr="001B703E">
              <w:rPr>
                <w:rFonts w:ascii="Times New Roman" w:hAnsi="Times New Roman" w:cs="Times New Roman"/>
                <w:b/>
                <w:bCs/>
              </w:rPr>
              <w:t>„Допустими разходи“</w:t>
            </w:r>
          </w:p>
        </w:tc>
        <w:tc>
          <w:tcPr>
            <w:tcW w:w="1895" w:type="pct"/>
            <w:shd w:val="clear" w:color="auto" w:fill="auto"/>
          </w:tcPr>
          <w:p w:rsidR="001D3E62" w:rsidRPr="001B703E" w:rsidRDefault="001D3E62" w:rsidP="001B703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1B703E">
              <w:rPr>
                <w:rFonts w:ascii="Times New Roman" w:eastAsia="Times New Roman" w:hAnsi="Times New Roman" w:cs="Times New Roman"/>
              </w:rPr>
              <w:t>в) Общи разходи, свързани с изброените по-горе, например такси, хонорари на архитекти, инженери и консултанти, хонорари, свързани с консултации относно екологичната и икономическата устойчивост;</w:t>
            </w:r>
          </w:p>
        </w:tc>
        <w:tc>
          <w:tcPr>
            <w:tcW w:w="1990" w:type="pct"/>
            <w:shd w:val="clear" w:color="auto" w:fill="auto"/>
          </w:tcPr>
          <w:p w:rsidR="001D3E62" w:rsidRPr="001B703E" w:rsidRDefault="001D3E62" w:rsidP="001B703E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457"/>
              <w:jc w:val="both"/>
              <w:rPr>
                <w:rFonts w:ascii="Times New Roman" w:hAnsi="Times New Roman" w:cs="Times New Roman"/>
                <w:bCs/>
              </w:rPr>
            </w:pPr>
            <w:r w:rsidRPr="001B703E">
              <w:rPr>
                <w:rFonts w:ascii="Times New Roman" w:hAnsi="Times New Roman" w:cs="Times New Roman"/>
                <w:bCs/>
              </w:rPr>
              <w:t>в) Общи разходи, свързани с изброените по-горе, например такси, хонорари на архитекти, инженери и консултанти, хонорари, свързани с консултации относно екологичната и икономическата устойчивост</w:t>
            </w:r>
            <w:r>
              <w:rPr>
                <w:rFonts w:ascii="Times New Roman" w:hAnsi="Times New Roman" w:cs="Times New Roman"/>
                <w:bCs/>
              </w:rPr>
              <w:t xml:space="preserve">, </w:t>
            </w:r>
            <w:r w:rsidRPr="003D0059">
              <w:rPr>
                <w:rFonts w:ascii="Times New Roman" w:hAnsi="Times New Roman" w:cs="Times New Roman"/>
                <w:color w:val="FF0000"/>
                <w:u w:val="single"/>
              </w:rPr>
              <w:t>както и разходи за организация и управление на проекта</w:t>
            </w:r>
            <w:r w:rsidRPr="001B703E">
              <w:rPr>
                <w:rFonts w:ascii="Times New Roman" w:hAnsi="Times New Roman" w:cs="Times New Roman"/>
                <w:bCs/>
              </w:rPr>
              <w:t>;</w:t>
            </w:r>
          </w:p>
        </w:tc>
      </w:tr>
    </w:tbl>
    <w:p w:rsidR="000122FA" w:rsidRPr="00AA1712" w:rsidRDefault="000122FA" w:rsidP="0066335D">
      <w:pPr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sectPr w:rsidR="000122FA" w:rsidRPr="00AA1712" w:rsidSect="00E569DB">
      <w:pgSz w:w="16838" w:h="11906" w:orient="landscape"/>
      <w:pgMar w:top="284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7D93" w:rsidRDefault="00197D93" w:rsidP="0039528E">
      <w:pPr>
        <w:spacing w:after="0" w:line="240" w:lineRule="auto"/>
      </w:pPr>
      <w:r>
        <w:separator/>
      </w:r>
    </w:p>
  </w:endnote>
  <w:endnote w:type="continuationSeparator" w:id="0">
    <w:p w:rsidR="00197D93" w:rsidRDefault="00197D93" w:rsidP="003952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16343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9528E" w:rsidRDefault="0039528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271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9528E" w:rsidRDefault="003952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7D93" w:rsidRDefault="00197D93" w:rsidP="0039528E">
      <w:pPr>
        <w:spacing w:after="0" w:line="240" w:lineRule="auto"/>
      </w:pPr>
      <w:r>
        <w:separator/>
      </w:r>
    </w:p>
  </w:footnote>
  <w:footnote w:type="continuationSeparator" w:id="0">
    <w:p w:rsidR="00197D93" w:rsidRDefault="00197D93" w:rsidP="003952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F12C3"/>
    <w:multiLevelType w:val="hybridMultilevel"/>
    <w:tmpl w:val="D60AE8E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72335E"/>
    <w:multiLevelType w:val="hybridMultilevel"/>
    <w:tmpl w:val="9F6ECE7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222B24"/>
    <w:multiLevelType w:val="hybridMultilevel"/>
    <w:tmpl w:val="6FFC7D8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1BD6102"/>
    <w:multiLevelType w:val="hybridMultilevel"/>
    <w:tmpl w:val="929E487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64C3702"/>
    <w:multiLevelType w:val="hybridMultilevel"/>
    <w:tmpl w:val="03BEE2E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1E6367"/>
    <w:multiLevelType w:val="hybridMultilevel"/>
    <w:tmpl w:val="DE24CF2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364A58"/>
    <w:multiLevelType w:val="hybridMultilevel"/>
    <w:tmpl w:val="50DA50C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3436603"/>
    <w:multiLevelType w:val="multilevel"/>
    <w:tmpl w:val="A09AD310"/>
    <w:numStyleLink w:val="Headings"/>
  </w:abstractNum>
  <w:abstractNum w:abstractNumId="8">
    <w:nsid w:val="54D10AB0"/>
    <w:multiLevelType w:val="singleLevel"/>
    <w:tmpl w:val="5B50620E"/>
    <w:lvl w:ilvl="0">
      <w:start w:val="1"/>
      <w:numFmt w:val="bullet"/>
      <w:pStyle w:val="ListDash4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9">
    <w:nsid w:val="555C0274"/>
    <w:multiLevelType w:val="hybridMultilevel"/>
    <w:tmpl w:val="87ECF71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594894"/>
    <w:multiLevelType w:val="multilevel"/>
    <w:tmpl w:val="A09AD310"/>
    <w:styleLink w:val="Headings"/>
    <w:lvl w:ilvl="0">
      <w:start w:val="1"/>
      <w:numFmt w:val="decimal"/>
      <w:pStyle w:val="Heading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0" w:firstLine="0"/>
      </w:pPr>
      <w:rPr>
        <w:rFonts w:hint="default"/>
        <w:color w:val="auto"/>
      </w:rPr>
    </w:lvl>
    <w:lvl w:ilvl="3">
      <w:start w:val="1"/>
      <w:numFmt w:val="decimal"/>
      <w:pStyle w:val="Heading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Heading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Heading6"/>
      <w:suff w:val="space"/>
      <w:lvlText w:val="%1.%2.%3.%4.%5.%6."/>
      <w:lvlJc w:val="left"/>
      <w:pPr>
        <w:ind w:left="426" w:firstLine="0"/>
      </w:pPr>
      <w:rPr>
        <w:rFonts w:hint="default"/>
      </w:rPr>
    </w:lvl>
    <w:lvl w:ilvl="6">
      <w:start w:val="1"/>
      <w:numFmt w:val="decimal"/>
      <w:pStyle w:val="Heading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Heading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Heading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>
    <w:nsid w:val="5ADB40C6"/>
    <w:multiLevelType w:val="hybridMultilevel"/>
    <w:tmpl w:val="6E680F9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2C73573"/>
    <w:multiLevelType w:val="hybridMultilevel"/>
    <w:tmpl w:val="7A0C7C1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046564"/>
    <w:multiLevelType w:val="hybridMultilevel"/>
    <w:tmpl w:val="11C4C92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9F627A"/>
    <w:multiLevelType w:val="hybridMultilevel"/>
    <w:tmpl w:val="B50AE3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D0F35DB"/>
    <w:multiLevelType w:val="hybridMultilevel"/>
    <w:tmpl w:val="C48CB28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2230544"/>
    <w:multiLevelType w:val="hybridMultilevel"/>
    <w:tmpl w:val="72230544"/>
    <w:lvl w:ilvl="0" w:tplc="2F3459D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49ADD0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A5FC632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ABDA4DB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EB407DC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D582D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04CB7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C080A0D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F98406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7">
    <w:nsid w:val="72230654"/>
    <w:multiLevelType w:val="hybridMultilevel"/>
    <w:tmpl w:val="72230654"/>
    <w:lvl w:ilvl="0" w:tplc="4034755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152ECA5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0E309E2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7004CEB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B2E0B62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1A32458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EB9A02D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AB2C35D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B56EB09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8">
    <w:nsid w:val="72230679"/>
    <w:multiLevelType w:val="hybridMultilevel"/>
    <w:tmpl w:val="72230679"/>
    <w:lvl w:ilvl="0" w:tplc="195E8F5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2A64A77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 w:tplc="B278288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0A60784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359AC96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 w:tplc="8A1837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A91AC2C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E6A5F6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 w:tplc="579C6E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9">
    <w:nsid w:val="75557DEC"/>
    <w:multiLevelType w:val="hybridMultilevel"/>
    <w:tmpl w:val="96DCE31C"/>
    <w:lvl w:ilvl="0" w:tplc="A9AEEA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4"/>
  </w:num>
  <w:num w:numId="3">
    <w:abstractNumId w:val="12"/>
  </w:num>
  <w:num w:numId="4">
    <w:abstractNumId w:val="11"/>
  </w:num>
  <w:num w:numId="5">
    <w:abstractNumId w:val="1"/>
  </w:num>
  <w:num w:numId="6">
    <w:abstractNumId w:val="13"/>
  </w:num>
  <w:num w:numId="7">
    <w:abstractNumId w:val="3"/>
  </w:num>
  <w:num w:numId="8">
    <w:abstractNumId w:val="2"/>
  </w:num>
  <w:num w:numId="9">
    <w:abstractNumId w:val="0"/>
  </w:num>
  <w:num w:numId="10">
    <w:abstractNumId w:val="9"/>
  </w:num>
  <w:num w:numId="11">
    <w:abstractNumId w:val="10"/>
  </w:num>
  <w:num w:numId="12">
    <w:abstractNumId w:val="7"/>
  </w:num>
  <w:num w:numId="13">
    <w:abstractNumId w:val="8"/>
  </w:num>
  <w:num w:numId="14">
    <w:abstractNumId w:val="16"/>
  </w:num>
  <w:num w:numId="15">
    <w:abstractNumId w:val="19"/>
  </w:num>
  <w:num w:numId="16">
    <w:abstractNumId w:val="18"/>
  </w:num>
  <w:num w:numId="17">
    <w:abstractNumId w:val="17"/>
  </w:num>
  <w:num w:numId="18">
    <w:abstractNumId w:val="14"/>
  </w:num>
  <w:num w:numId="19">
    <w:abstractNumId w:val="15"/>
  </w:num>
  <w:num w:numId="2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F4D"/>
    <w:rsid w:val="00002191"/>
    <w:rsid w:val="000122FA"/>
    <w:rsid w:val="00012C8D"/>
    <w:rsid w:val="00036592"/>
    <w:rsid w:val="00044429"/>
    <w:rsid w:val="00060D89"/>
    <w:rsid w:val="00061E68"/>
    <w:rsid w:val="00063202"/>
    <w:rsid w:val="00070D87"/>
    <w:rsid w:val="000711F8"/>
    <w:rsid w:val="000840D6"/>
    <w:rsid w:val="0009360E"/>
    <w:rsid w:val="000C2AF2"/>
    <w:rsid w:val="000C3494"/>
    <w:rsid w:val="000D025B"/>
    <w:rsid w:val="000F3B34"/>
    <w:rsid w:val="00120F75"/>
    <w:rsid w:val="00145219"/>
    <w:rsid w:val="001464C8"/>
    <w:rsid w:val="0015310C"/>
    <w:rsid w:val="00160072"/>
    <w:rsid w:val="00172319"/>
    <w:rsid w:val="00173D23"/>
    <w:rsid w:val="00183E77"/>
    <w:rsid w:val="00197D93"/>
    <w:rsid w:val="001B703E"/>
    <w:rsid w:val="001D3E62"/>
    <w:rsid w:val="001E2C3D"/>
    <w:rsid w:val="001E47ED"/>
    <w:rsid w:val="0021024C"/>
    <w:rsid w:val="0021565A"/>
    <w:rsid w:val="00220108"/>
    <w:rsid w:val="00232F4B"/>
    <w:rsid w:val="002460F2"/>
    <w:rsid w:val="00266328"/>
    <w:rsid w:val="0027034C"/>
    <w:rsid w:val="00280287"/>
    <w:rsid w:val="0029245A"/>
    <w:rsid w:val="002B015A"/>
    <w:rsid w:val="002C104E"/>
    <w:rsid w:val="002C535D"/>
    <w:rsid w:val="002D7379"/>
    <w:rsid w:val="002D79C6"/>
    <w:rsid w:val="002E48CC"/>
    <w:rsid w:val="002F1106"/>
    <w:rsid w:val="002F5A0C"/>
    <w:rsid w:val="00304FF9"/>
    <w:rsid w:val="00310593"/>
    <w:rsid w:val="00313A15"/>
    <w:rsid w:val="003166E8"/>
    <w:rsid w:val="00323326"/>
    <w:rsid w:val="00330392"/>
    <w:rsid w:val="003336D4"/>
    <w:rsid w:val="003631C7"/>
    <w:rsid w:val="003675E7"/>
    <w:rsid w:val="00385A3E"/>
    <w:rsid w:val="00393D91"/>
    <w:rsid w:val="0039528E"/>
    <w:rsid w:val="003B08E8"/>
    <w:rsid w:val="003C70BE"/>
    <w:rsid w:val="003D0059"/>
    <w:rsid w:val="003E081A"/>
    <w:rsid w:val="003E42F5"/>
    <w:rsid w:val="003E4FF7"/>
    <w:rsid w:val="003E561B"/>
    <w:rsid w:val="004102ED"/>
    <w:rsid w:val="00413E7C"/>
    <w:rsid w:val="00416AED"/>
    <w:rsid w:val="004352A2"/>
    <w:rsid w:val="00440DA8"/>
    <w:rsid w:val="004524AA"/>
    <w:rsid w:val="00452900"/>
    <w:rsid w:val="004625BF"/>
    <w:rsid w:val="00475F00"/>
    <w:rsid w:val="004866C4"/>
    <w:rsid w:val="004A18FA"/>
    <w:rsid w:val="004B06DD"/>
    <w:rsid w:val="004B5CC2"/>
    <w:rsid w:val="004D1BF8"/>
    <w:rsid w:val="004D6C6F"/>
    <w:rsid w:val="004F271C"/>
    <w:rsid w:val="00501F88"/>
    <w:rsid w:val="005072C4"/>
    <w:rsid w:val="00552F8E"/>
    <w:rsid w:val="00560F36"/>
    <w:rsid w:val="00561E0F"/>
    <w:rsid w:val="00562325"/>
    <w:rsid w:val="00572617"/>
    <w:rsid w:val="00584E2E"/>
    <w:rsid w:val="00595C9D"/>
    <w:rsid w:val="005A3F03"/>
    <w:rsid w:val="005A70DF"/>
    <w:rsid w:val="005B499D"/>
    <w:rsid w:val="005E49D7"/>
    <w:rsid w:val="005E7479"/>
    <w:rsid w:val="006136DD"/>
    <w:rsid w:val="00626DF1"/>
    <w:rsid w:val="00627292"/>
    <w:rsid w:val="0063062D"/>
    <w:rsid w:val="0064362D"/>
    <w:rsid w:val="00645B68"/>
    <w:rsid w:val="00655BCB"/>
    <w:rsid w:val="0066335D"/>
    <w:rsid w:val="00666E06"/>
    <w:rsid w:val="00670390"/>
    <w:rsid w:val="00677CDC"/>
    <w:rsid w:val="00685AB3"/>
    <w:rsid w:val="00697F68"/>
    <w:rsid w:val="006B081A"/>
    <w:rsid w:val="006C2CC4"/>
    <w:rsid w:val="006F0984"/>
    <w:rsid w:val="00700A06"/>
    <w:rsid w:val="00706595"/>
    <w:rsid w:val="00716F43"/>
    <w:rsid w:val="00716F66"/>
    <w:rsid w:val="00722FAC"/>
    <w:rsid w:val="0073381A"/>
    <w:rsid w:val="00736BCB"/>
    <w:rsid w:val="007378F9"/>
    <w:rsid w:val="00737EC3"/>
    <w:rsid w:val="00740A03"/>
    <w:rsid w:val="00745977"/>
    <w:rsid w:val="00752182"/>
    <w:rsid w:val="00754DE6"/>
    <w:rsid w:val="007556D0"/>
    <w:rsid w:val="00766717"/>
    <w:rsid w:val="007813C7"/>
    <w:rsid w:val="0078287A"/>
    <w:rsid w:val="00794EFF"/>
    <w:rsid w:val="007B08E2"/>
    <w:rsid w:val="007C0BE3"/>
    <w:rsid w:val="007F4CB0"/>
    <w:rsid w:val="008042E0"/>
    <w:rsid w:val="00815796"/>
    <w:rsid w:val="008210F0"/>
    <w:rsid w:val="0082480D"/>
    <w:rsid w:val="0084626A"/>
    <w:rsid w:val="00875488"/>
    <w:rsid w:val="00884781"/>
    <w:rsid w:val="008A3DF4"/>
    <w:rsid w:val="008C74E1"/>
    <w:rsid w:val="008E611B"/>
    <w:rsid w:val="00904550"/>
    <w:rsid w:val="0092390C"/>
    <w:rsid w:val="00924D30"/>
    <w:rsid w:val="009355F0"/>
    <w:rsid w:val="009718DB"/>
    <w:rsid w:val="00982E05"/>
    <w:rsid w:val="00993553"/>
    <w:rsid w:val="009B7211"/>
    <w:rsid w:val="009C7F38"/>
    <w:rsid w:val="009D6EF7"/>
    <w:rsid w:val="009F0F8C"/>
    <w:rsid w:val="009F1F50"/>
    <w:rsid w:val="009F7EF6"/>
    <w:rsid w:val="00A15DCD"/>
    <w:rsid w:val="00A212F8"/>
    <w:rsid w:val="00A546C4"/>
    <w:rsid w:val="00A73BFD"/>
    <w:rsid w:val="00A81476"/>
    <w:rsid w:val="00A907B0"/>
    <w:rsid w:val="00AA1712"/>
    <w:rsid w:val="00AD014F"/>
    <w:rsid w:val="00AD1CB7"/>
    <w:rsid w:val="00AF50B3"/>
    <w:rsid w:val="00B01AE9"/>
    <w:rsid w:val="00B063C3"/>
    <w:rsid w:val="00B15518"/>
    <w:rsid w:val="00B175ED"/>
    <w:rsid w:val="00B20AC8"/>
    <w:rsid w:val="00B212A5"/>
    <w:rsid w:val="00B318D7"/>
    <w:rsid w:val="00B32F4D"/>
    <w:rsid w:val="00B4444C"/>
    <w:rsid w:val="00B636D1"/>
    <w:rsid w:val="00B65D08"/>
    <w:rsid w:val="00B669EE"/>
    <w:rsid w:val="00B8456B"/>
    <w:rsid w:val="00BB0FE0"/>
    <w:rsid w:val="00BB10AE"/>
    <w:rsid w:val="00BC3B9D"/>
    <w:rsid w:val="00BD2F7F"/>
    <w:rsid w:val="00BF5889"/>
    <w:rsid w:val="00C21EC7"/>
    <w:rsid w:val="00C23E3F"/>
    <w:rsid w:val="00C50A58"/>
    <w:rsid w:val="00C50D83"/>
    <w:rsid w:val="00C61047"/>
    <w:rsid w:val="00C95F78"/>
    <w:rsid w:val="00CC1067"/>
    <w:rsid w:val="00CC361C"/>
    <w:rsid w:val="00CE3DB8"/>
    <w:rsid w:val="00CE714D"/>
    <w:rsid w:val="00CF0AD8"/>
    <w:rsid w:val="00CF24FC"/>
    <w:rsid w:val="00CF26DB"/>
    <w:rsid w:val="00D36B33"/>
    <w:rsid w:val="00D3789A"/>
    <w:rsid w:val="00D507F6"/>
    <w:rsid w:val="00D62E35"/>
    <w:rsid w:val="00D631BE"/>
    <w:rsid w:val="00D634CE"/>
    <w:rsid w:val="00D83AF4"/>
    <w:rsid w:val="00DA1AAD"/>
    <w:rsid w:val="00DA5B13"/>
    <w:rsid w:val="00DB6DC6"/>
    <w:rsid w:val="00DD7513"/>
    <w:rsid w:val="00DD7EB0"/>
    <w:rsid w:val="00DF3258"/>
    <w:rsid w:val="00E00519"/>
    <w:rsid w:val="00E01BEA"/>
    <w:rsid w:val="00E02E16"/>
    <w:rsid w:val="00E22764"/>
    <w:rsid w:val="00E27E15"/>
    <w:rsid w:val="00E41D7C"/>
    <w:rsid w:val="00E54411"/>
    <w:rsid w:val="00E569DB"/>
    <w:rsid w:val="00E7424E"/>
    <w:rsid w:val="00E767FF"/>
    <w:rsid w:val="00E868AC"/>
    <w:rsid w:val="00E90E12"/>
    <w:rsid w:val="00EA148A"/>
    <w:rsid w:val="00EA398A"/>
    <w:rsid w:val="00EC24D3"/>
    <w:rsid w:val="00ED0477"/>
    <w:rsid w:val="00ED2FA4"/>
    <w:rsid w:val="00ED4586"/>
    <w:rsid w:val="00EE601E"/>
    <w:rsid w:val="00EF0F48"/>
    <w:rsid w:val="00F047D0"/>
    <w:rsid w:val="00F16665"/>
    <w:rsid w:val="00F44947"/>
    <w:rsid w:val="00F52022"/>
    <w:rsid w:val="00F547D0"/>
    <w:rsid w:val="00F633A5"/>
    <w:rsid w:val="00F74F92"/>
    <w:rsid w:val="00F7647D"/>
    <w:rsid w:val="00F76499"/>
    <w:rsid w:val="00FA3049"/>
    <w:rsid w:val="00FB59BA"/>
    <w:rsid w:val="00FE1120"/>
    <w:rsid w:val="00FE5246"/>
    <w:rsid w:val="00FF5E1E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494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494"/>
  </w:style>
  <w:style w:type="paragraph" w:styleId="Heading1">
    <w:name w:val="heading 1"/>
    <w:basedOn w:val="Normal"/>
    <w:next w:val="Normal"/>
    <w:link w:val="Heading1Char"/>
    <w:qFormat/>
    <w:rsid w:val="00D3789A"/>
    <w:pPr>
      <w:keepNext/>
      <w:numPr>
        <w:numId w:val="12"/>
      </w:numPr>
      <w:spacing w:before="240" w:after="240" w:line="240" w:lineRule="auto"/>
      <w:jc w:val="both"/>
      <w:outlineLvl w:val="0"/>
    </w:pPr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paragraph" w:styleId="Heading2">
    <w:name w:val="heading 2"/>
    <w:basedOn w:val="Heading1"/>
    <w:next w:val="Normal"/>
    <w:link w:val="Heading2Char"/>
    <w:autoRedefine/>
    <w:qFormat/>
    <w:rsid w:val="00D3789A"/>
    <w:pPr>
      <w:numPr>
        <w:ilvl w:val="1"/>
      </w:numPr>
      <w:outlineLvl w:val="1"/>
    </w:pPr>
    <w:rPr>
      <w:smallCaps w:val="0"/>
      <w:sz w:val="24"/>
    </w:rPr>
  </w:style>
  <w:style w:type="paragraph" w:styleId="Heading3">
    <w:name w:val="heading 3"/>
    <w:basedOn w:val="Heading2"/>
    <w:next w:val="Normal"/>
    <w:link w:val="Heading3Char"/>
    <w:autoRedefine/>
    <w:qFormat/>
    <w:rsid w:val="00D3789A"/>
    <w:pPr>
      <w:numPr>
        <w:ilvl w:val="2"/>
      </w:numPr>
      <w:outlineLvl w:val="2"/>
    </w:pPr>
    <w:rPr>
      <w:b w:val="0"/>
      <w:color w:val="000000"/>
    </w:rPr>
  </w:style>
  <w:style w:type="paragraph" w:styleId="Heading4">
    <w:name w:val="heading 4"/>
    <w:basedOn w:val="Heading3"/>
    <w:next w:val="Normal"/>
    <w:link w:val="Heading4Char"/>
    <w:qFormat/>
    <w:rsid w:val="00D3789A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qFormat/>
    <w:rsid w:val="00D3789A"/>
    <w:pPr>
      <w:numPr>
        <w:ilvl w:val="4"/>
      </w:numPr>
      <w:jc w:val="left"/>
      <w:outlineLvl w:val="4"/>
    </w:pPr>
    <w:rPr>
      <w:rFonts w:ascii="Arial" w:hAnsi="Arial"/>
      <w:b/>
      <w:i w:val="0"/>
      <w:noProof/>
      <w:sz w:val="22"/>
    </w:rPr>
  </w:style>
  <w:style w:type="paragraph" w:styleId="Heading6">
    <w:name w:val="heading 6"/>
    <w:basedOn w:val="Heading5"/>
    <w:next w:val="Normal"/>
    <w:link w:val="Heading6Char"/>
    <w:qFormat/>
    <w:rsid w:val="00D3789A"/>
    <w:pPr>
      <w:numPr>
        <w:ilvl w:val="5"/>
      </w:numPr>
      <w:spacing w:after="60"/>
      <w:outlineLvl w:val="5"/>
    </w:pPr>
    <w:rPr>
      <w:b w:val="0"/>
    </w:rPr>
  </w:style>
  <w:style w:type="paragraph" w:styleId="Heading7">
    <w:name w:val="heading 7"/>
    <w:basedOn w:val="Heading6"/>
    <w:next w:val="Normal"/>
    <w:link w:val="Heading7Char"/>
    <w:qFormat/>
    <w:rsid w:val="00D3789A"/>
    <w:pPr>
      <w:numPr>
        <w:ilvl w:val="6"/>
      </w:numPr>
      <w:outlineLvl w:val="6"/>
    </w:pPr>
    <w:rPr>
      <w:i/>
    </w:rPr>
  </w:style>
  <w:style w:type="paragraph" w:styleId="Heading8">
    <w:name w:val="heading 8"/>
    <w:basedOn w:val="Heading7"/>
    <w:next w:val="Normal"/>
    <w:link w:val="Heading8Char"/>
    <w:qFormat/>
    <w:rsid w:val="00D3789A"/>
    <w:pPr>
      <w:numPr>
        <w:ilvl w:val="7"/>
      </w:numPr>
      <w:outlineLvl w:val="7"/>
    </w:pPr>
    <w:rPr>
      <w:rFonts w:ascii="Calibri" w:hAnsi="Calibri"/>
      <w:b/>
      <w:i w:val="0"/>
      <w:sz w:val="24"/>
    </w:rPr>
  </w:style>
  <w:style w:type="paragraph" w:styleId="Heading9">
    <w:name w:val="heading 9"/>
    <w:basedOn w:val="Heading8"/>
    <w:next w:val="Normal"/>
    <w:link w:val="Heading9Char"/>
    <w:qFormat/>
    <w:rsid w:val="00D3789A"/>
    <w:pPr>
      <w:numPr>
        <w:ilvl w:val="8"/>
      </w:numPr>
      <w:outlineLvl w:val="8"/>
    </w:pPr>
    <w:rPr>
      <w:b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306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4626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528E"/>
  </w:style>
  <w:style w:type="paragraph" w:styleId="Footer">
    <w:name w:val="footer"/>
    <w:basedOn w:val="Normal"/>
    <w:link w:val="FooterChar"/>
    <w:uiPriority w:val="99"/>
    <w:unhideWhenUsed/>
    <w:rsid w:val="003952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528E"/>
  </w:style>
  <w:style w:type="character" w:customStyle="1" w:styleId="Heading1Char">
    <w:name w:val="Heading 1 Char"/>
    <w:basedOn w:val="DefaultParagraphFont"/>
    <w:link w:val="Heading1"/>
    <w:rsid w:val="00D3789A"/>
    <w:rPr>
      <w:rFonts w:ascii="Times New Roman" w:eastAsia="Times New Roman" w:hAnsi="Times New Roman" w:cs="Times New Roman"/>
      <w:b/>
      <w:smallCaps/>
      <w:sz w:val="28"/>
      <w:szCs w:val="20"/>
      <w:lang w:val="fr-BE"/>
    </w:rPr>
  </w:style>
  <w:style w:type="character" w:customStyle="1" w:styleId="Heading2Char">
    <w:name w:val="Heading 2 Char"/>
    <w:basedOn w:val="DefaultParagraphFont"/>
    <w:link w:val="Heading2"/>
    <w:rsid w:val="00D3789A"/>
    <w:rPr>
      <w:rFonts w:ascii="Times New Roman" w:eastAsia="Times New Roman" w:hAnsi="Times New Roman" w:cs="Times New Roman"/>
      <w:b/>
      <w:sz w:val="24"/>
      <w:szCs w:val="20"/>
      <w:lang w:val="fr-BE"/>
    </w:rPr>
  </w:style>
  <w:style w:type="character" w:customStyle="1" w:styleId="Heading3Char">
    <w:name w:val="Heading 3 Char"/>
    <w:basedOn w:val="DefaultParagraphFont"/>
    <w:link w:val="Heading3"/>
    <w:rsid w:val="00D3789A"/>
    <w:rPr>
      <w:rFonts w:ascii="Times New Roman" w:eastAsia="Times New Roman" w:hAnsi="Times New Roman" w:cs="Times New Roman"/>
      <w:color w:val="000000"/>
      <w:sz w:val="24"/>
      <w:szCs w:val="20"/>
      <w:lang w:val="fr-BE"/>
    </w:rPr>
  </w:style>
  <w:style w:type="character" w:customStyle="1" w:styleId="Heading4Char">
    <w:name w:val="Heading 4 Char"/>
    <w:basedOn w:val="DefaultParagraphFont"/>
    <w:link w:val="Heading4"/>
    <w:rsid w:val="00D3789A"/>
    <w:rPr>
      <w:rFonts w:ascii="Times New Roman" w:eastAsia="Times New Roman" w:hAnsi="Times New Roman" w:cs="Times New Roman"/>
      <w:i/>
      <w:color w:val="000000"/>
      <w:sz w:val="24"/>
      <w:szCs w:val="20"/>
      <w:lang w:val="fr-BE"/>
    </w:rPr>
  </w:style>
  <w:style w:type="character" w:customStyle="1" w:styleId="Heading5Char">
    <w:name w:val="Heading 5 Char"/>
    <w:basedOn w:val="DefaultParagraphFont"/>
    <w:link w:val="Heading5"/>
    <w:rsid w:val="00D3789A"/>
    <w:rPr>
      <w:rFonts w:ascii="Arial" w:eastAsia="Times New Roman" w:hAnsi="Arial" w:cs="Times New Roman"/>
      <w:b/>
      <w:noProof/>
      <w:color w:val="000000"/>
      <w:szCs w:val="20"/>
      <w:lang w:val="fr-BE"/>
    </w:rPr>
  </w:style>
  <w:style w:type="character" w:customStyle="1" w:styleId="Heading6Char">
    <w:name w:val="Heading 6 Char"/>
    <w:basedOn w:val="DefaultParagraphFont"/>
    <w:link w:val="Heading6"/>
    <w:rsid w:val="00D3789A"/>
    <w:rPr>
      <w:rFonts w:ascii="Arial" w:eastAsia="Times New Roman" w:hAnsi="Arial" w:cs="Times New Roman"/>
      <w:noProof/>
      <w:color w:val="000000"/>
      <w:szCs w:val="20"/>
      <w:lang w:val="fr-BE"/>
    </w:rPr>
  </w:style>
  <w:style w:type="character" w:customStyle="1" w:styleId="Heading7Char">
    <w:name w:val="Heading 7 Char"/>
    <w:basedOn w:val="DefaultParagraphFont"/>
    <w:link w:val="Heading7"/>
    <w:rsid w:val="00D3789A"/>
    <w:rPr>
      <w:rFonts w:ascii="Arial" w:eastAsia="Times New Roman" w:hAnsi="Arial" w:cs="Times New Roman"/>
      <w:i/>
      <w:noProof/>
      <w:color w:val="000000"/>
      <w:szCs w:val="20"/>
      <w:lang w:val="fr-BE"/>
    </w:rPr>
  </w:style>
  <w:style w:type="character" w:customStyle="1" w:styleId="Heading8Char">
    <w:name w:val="Heading 8 Char"/>
    <w:basedOn w:val="DefaultParagraphFont"/>
    <w:link w:val="Heading8"/>
    <w:rsid w:val="00D3789A"/>
    <w:rPr>
      <w:rFonts w:ascii="Calibri" w:eastAsia="Times New Roman" w:hAnsi="Calibri" w:cs="Times New Roman"/>
      <w:b/>
      <w:noProof/>
      <w:color w:val="000000"/>
      <w:sz w:val="24"/>
      <w:szCs w:val="20"/>
      <w:lang w:val="fr-BE"/>
    </w:rPr>
  </w:style>
  <w:style w:type="character" w:customStyle="1" w:styleId="Heading9Char">
    <w:name w:val="Heading 9 Char"/>
    <w:basedOn w:val="DefaultParagraphFont"/>
    <w:link w:val="Heading9"/>
    <w:rsid w:val="00D3789A"/>
    <w:rPr>
      <w:rFonts w:ascii="Calibri" w:eastAsia="Times New Roman" w:hAnsi="Calibri" w:cs="Times New Roman"/>
      <w:noProof/>
      <w:color w:val="000000"/>
      <w:sz w:val="24"/>
      <w:szCs w:val="20"/>
      <w:lang w:val="fr-BE"/>
    </w:rPr>
  </w:style>
  <w:style w:type="numbering" w:customStyle="1" w:styleId="Headings">
    <w:name w:val="Headings"/>
    <w:uiPriority w:val="99"/>
    <w:rsid w:val="00D3789A"/>
    <w:pPr>
      <w:numPr>
        <w:numId w:val="11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E61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611B"/>
    <w:rPr>
      <w:rFonts w:ascii="Tahoma" w:hAnsi="Tahoma" w:cs="Tahoma"/>
      <w:sz w:val="16"/>
      <w:szCs w:val="16"/>
    </w:rPr>
  </w:style>
  <w:style w:type="paragraph" w:customStyle="1" w:styleId="ListDash4">
    <w:name w:val="List Dash 4"/>
    <w:basedOn w:val="Normal"/>
    <w:rsid w:val="0066335D"/>
    <w:pPr>
      <w:numPr>
        <w:numId w:val="1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40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E02386-CA0D-483C-A5D7-CFFA86104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914</Words>
  <Characters>5212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Snezhana Grigorova</cp:lastModifiedBy>
  <cp:revision>2</cp:revision>
  <cp:lastPrinted>2018-11-20T11:38:00Z</cp:lastPrinted>
  <dcterms:created xsi:type="dcterms:W3CDTF">2019-10-24T14:40:00Z</dcterms:created>
  <dcterms:modified xsi:type="dcterms:W3CDTF">2019-10-24T14:40:00Z</dcterms:modified>
</cp:coreProperties>
</file>